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</w:t>
        <w:br/>
        <w:t xml:space="preserve"/>
        <w:br/>
        <w:t xml:space="preserve">   2. เงื่อนไขในการยื่นคำขอ</w:t>
        <w:br/>
        <w:t xml:space="preserve"/>
        <w:br/>
        <w:t xml:space="preserve">  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แผนที่สังเขปแสดงที่ตั้งจำหน่ายอาหาร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อัตราค่าธรรมเนียมใบอนุญาตจำหน่ายสินค้าในที่หรือทางสาธารณะ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750 บาทต่อปี </w:t>
              <w:br/>
              <w:t xml:space="preserve">     (ข) จำหน่ายโดยลักษณะการเร่ขาย  ฉบับละไม่เกิน  100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(ยังไม่มีข้อกำหนดของท้องถิ่น)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 เทศบาลตำบลแม่ยม สมพงษ์ สำเนาคู่มือประชาชน 27/11/2017 09:11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