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</w:t>
        <w:br/>
        <w:t xml:space="preserve"/>
        <w:br/>
        <w:t xml:space="preserve">   2. เงื่อนไขในการยื่นคำขอ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(ตามข้อกำหนดของท้องถิ่น)</w:t>
        <w:br/>
        <w:t xml:space="preserve"/>
        <w:br/>
        <w:t xml:space="preserve">    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</w:t>
              <w:br/>
              <w:t xml:space="preserve">        แจ้งคำสั่งไม่ออกใบอนุญาตประกอบกิจการรับทำการเก็บ และขนมูลฝอยติดเชื้อแก่ผู้ขออนุญาตทราบ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(คุณสมบัติสำเร็จการศึกษาไม่ต่ำกว่าปริญญาตรีหรือเทียบเท่าในสาขาวิทยาศาสตร์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และขนมูลฝอยติดเชื้อ ฉบับละไม่เกิน 10,000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และขนมูลฝอยติดเชื้อ เทศบาลตำบลแม่ยม สมพงษ์ สำเนาคู่มือประชาชน 29/11/2017 14:45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