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และขนมูลฝอยทั่วไป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/>
        <w:br/>
        <w:t xml:space="preserve">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 ครั้งละไม่เกิน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และขนมูลฝอยทั่วไป ฉบับละไม่เกิน 5,000 บาทต่อปี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  การแจ้งผลการพิจารณา</w:t>
        <w:br/>
        <w:t xml:space="preserve">  1.ในกรณีที่เจ้าพนักงานท้องถิ่น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>  2. ในกรณีที่เจ้าพนักงานท้องถิ่นพิจารณายังไม่แล้วเสร็จภายในระยะเวลาตามข้อ 1.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  <w:br/>
        <w:t xml:space="preserve"/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กฎกระทรวงสุขลักษณะการจัดการมูลฝอยทั่วไป พ.ศ.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14:27 การขอใบอนุญาตประกอบกิจการรับทำการเก็บ และขนมูลฝอยทั่วไป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