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   2.เงื่อนไขในการยื่นคำขอ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</w:t>
        <w:br/>
        <w:t xml:space="preserve"/>
        <w:br/>
        <w:t xml:space="preserve">    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และขนมูลฝอยทั่วไป ฉบับละไม่เกิน 5,000 บาท 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การแ้จงผลการพิจารณา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และขนมูลฝอยทั่วไป เทศบาลตำบลแม่ยม สมพงษ์ สำเนาคู่มือประชาชน 29/11/2017 14:51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