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การขอรับบำเหน็จพิเศษรายเดือนของลูกจ้างประจำขององค์กรปกครองส่วนท้องถิ่น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  <w:br/>
        <w:t xml:space="preserve"/>
        <w:br/>
        <w:t xml:space="preserve">2. 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จะแจ้งผลการพิจารณาให้ผู้ยื่นคำขอทราบภายใน 5วันทำการ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12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>ตรวจสอบความถูกต้องและรวบรวมหลักฐานและเอกสารที่เกี่ยวข้องเสนอผู้มีอำนาจพิจารณา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ให้แก่ลูกจ้างประจำต่อไป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 แบบคำขอรับบำเหน็จพิเศษรายเดือนลูกจ้าง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 ใบรับรองของแพทย์ที่ทางราชการรับรอง ว่าไม่สามารถปฏิบัติหน้าที่ได้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การขอรับบำเหน็จพิเศษรายเดือนของลูกจ้างประจำขององค์กรปกครองส่วนท้องถิ่น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 กรมส่งเสริมการปกครองท้องถิ่น กรมส่งเสริมการปกครองท้องถิ่น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15:28 การขอรับบำเหน็จพิเศษรายเดือนของลูกจ้างประจำขององค์กรปกครองส่วนท้องถิ่น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