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การแจ้งก่อสร้างอาคารตามมาตรา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                           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